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color w:val="auto"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胡丽娟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“十四五”时期杭州市现代金融服务业新增长点培育研究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杭州市哲学社会科学规划领导小组办公室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2020.12-2022.10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浙江同花顺智能科技有限公司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胡丽娟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陆妙燕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数据收集分析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华东师范大学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谢朝德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保险行业研究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张晓伟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总监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浙江同花顺智能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科技有限公司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金融行业市场研究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1.《基于投资者情绪的多因子 ESG 产业投资策略研究》论文，《科技信息》，2021年第10期；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2.《基于正交因子旋转法的半导体行业投资策略研究》论文，《中国经济评论》，2021年第13期；</w:t>
            </w:r>
          </w:p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3.《绿色金融视角下美丽乡村建设的政策支持研究》调研论文获，2021“普惠金融∙青春践行”大学生暑期社会实践有奖征文比赛三等奖；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“十四五”时期杭州市现代金融服务业新增长点培育研究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》研究报告，被浙江同花顺智能科技有限公司采纳。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2023.5.6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准予结题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3914AED"/>
    <w:rsid w:val="19EF4ACD"/>
    <w:rsid w:val="208615D1"/>
    <w:rsid w:val="23297B98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2024-01-30T16:17:17Z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C60AF44F6FEE4020AC9865C21BB41D74_13</vt:lpwstr>
  </property>
</Properties>
</file>