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严静峰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8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融化生存世界的哲学批判及其中国论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国哲学社会科学规划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7.06-20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严静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海财经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收集，参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姚黎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海财经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收集，参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瑞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盐城工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收集，参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成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博士生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海财经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收集，参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rightChars="0" w:firstLine="703" w:firstLineChars="335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  <w:bookmarkStart w:id="0" w:name="_GoBack"/>
            <w:bookmarkEnd w:id="0"/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09460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美中经济关系冲突的政治经济学论析》，《当代经济研究》2021年第11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《组织化的力量：建党百年的经验与新型文明的生成》，《经济社会体制比较》2022年第1期（人大复印资料《中国共产党》2022年第5期全文转载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89603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5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融化生存世界的哲学批判及其中国论域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书稿（23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04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国哲学社会科学规划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07593D76"/>
    <w:rsid w:val="0D951880"/>
    <w:rsid w:val="1299771C"/>
    <w:rsid w:val="13914AED"/>
    <w:rsid w:val="15E74C42"/>
    <w:rsid w:val="161D68B6"/>
    <w:rsid w:val="198A4263"/>
    <w:rsid w:val="1A911621"/>
    <w:rsid w:val="1C896A53"/>
    <w:rsid w:val="1FAF6935"/>
    <w:rsid w:val="208615D1"/>
    <w:rsid w:val="211D3C0E"/>
    <w:rsid w:val="23492A98"/>
    <w:rsid w:val="271909D4"/>
    <w:rsid w:val="29121B7F"/>
    <w:rsid w:val="2BC127E4"/>
    <w:rsid w:val="2BDF043E"/>
    <w:rsid w:val="2C3B13EC"/>
    <w:rsid w:val="2E291E44"/>
    <w:rsid w:val="3304078A"/>
    <w:rsid w:val="35894BB0"/>
    <w:rsid w:val="365F4CE1"/>
    <w:rsid w:val="36D840E1"/>
    <w:rsid w:val="3C3420E0"/>
    <w:rsid w:val="467F1518"/>
    <w:rsid w:val="4819662E"/>
    <w:rsid w:val="48A04659"/>
    <w:rsid w:val="48A62558"/>
    <w:rsid w:val="49E031D3"/>
    <w:rsid w:val="4B313C8F"/>
    <w:rsid w:val="4CE65929"/>
    <w:rsid w:val="4D1A70D0"/>
    <w:rsid w:val="4D297313"/>
    <w:rsid w:val="502E69EF"/>
    <w:rsid w:val="508825A3"/>
    <w:rsid w:val="5586182D"/>
    <w:rsid w:val="56440D1A"/>
    <w:rsid w:val="5862192B"/>
    <w:rsid w:val="59B80C41"/>
    <w:rsid w:val="5A8738CB"/>
    <w:rsid w:val="5C976331"/>
    <w:rsid w:val="5CA74D90"/>
    <w:rsid w:val="5E7303EE"/>
    <w:rsid w:val="5EA507C4"/>
    <w:rsid w:val="5F3C2ED6"/>
    <w:rsid w:val="62F13FD7"/>
    <w:rsid w:val="63A177AC"/>
    <w:rsid w:val="63BC451E"/>
    <w:rsid w:val="66C0263F"/>
    <w:rsid w:val="694F57BE"/>
    <w:rsid w:val="6DD2507B"/>
    <w:rsid w:val="72032D75"/>
    <w:rsid w:val="72100E40"/>
    <w:rsid w:val="77DF1FFC"/>
    <w:rsid w:val="78795D02"/>
    <w:rsid w:val="7C240B22"/>
    <w:rsid w:val="7D0C1CE2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1-30T13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163B4DEEFF4610846C779F418E02AB_13</vt:lpwstr>
  </property>
</Properties>
</file>